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E3" w:rsidRDefault="00412AE3" w:rsidP="00305C3A">
      <w:pPr>
        <w:rPr>
          <w:lang w:val="nb-NO"/>
        </w:rPr>
      </w:pPr>
    </w:p>
    <w:p w:rsidR="0010646A" w:rsidRPr="0010646A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sz w:val="32"/>
          <w:szCs w:val="22"/>
        </w:rPr>
      </w:pPr>
      <w:r w:rsidRPr="0010646A">
        <w:rPr>
          <w:rFonts w:asciiTheme="minorHAnsi" w:hAnsiTheme="minorHAnsi" w:cstheme="minorHAnsi"/>
          <w:b/>
          <w:sz w:val="32"/>
          <w:szCs w:val="22"/>
        </w:rPr>
        <w:t xml:space="preserve">Forskrift om folkevalgtes rett til godtgjøring og velferdsgoder </w:t>
      </w:r>
    </w:p>
    <w:p w:rsidR="0010646A" w:rsidRPr="0010646A" w:rsidRDefault="0010646A" w:rsidP="0010646A">
      <w:pPr>
        <w:pStyle w:val="Default"/>
        <w:spacing w:line="240" w:lineRule="auto"/>
        <w:ind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10646A">
        <w:rPr>
          <w:rFonts w:asciiTheme="minorHAnsi" w:hAnsiTheme="minorHAnsi" w:cstheme="minorHAnsi"/>
          <w:sz w:val="20"/>
          <w:szCs w:val="22"/>
        </w:rPr>
        <w:t>Vedtatt i K-sak 13/20, publisert på Lovdata</w:t>
      </w:r>
    </w:p>
    <w:p w:rsidR="0010646A" w:rsidRDefault="0010646A" w:rsidP="00B95469">
      <w:pPr>
        <w:pStyle w:val="Defaul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32E9A">
        <w:rPr>
          <w:rFonts w:asciiTheme="minorHAnsi" w:hAnsiTheme="minorHAnsi" w:cstheme="minorHAnsi"/>
          <w:b/>
          <w:sz w:val="22"/>
          <w:szCs w:val="22"/>
        </w:rPr>
        <w:t xml:space="preserve">§ 1 </w:t>
      </w:r>
      <w:r w:rsidRPr="00932E9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Formål 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>Forskriften skal legge til rette for bred rekruttering til Modum kommunes tillitsverv gjennom økonomiske ordninger som gjør det mulig for alle å delta i lokalpolitikken.</w:t>
      </w:r>
    </w:p>
    <w:p w:rsidR="00B95469" w:rsidRPr="00B159F7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159F7">
        <w:rPr>
          <w:rFonts w:asciiTheme="minorHAnsi" w:hAnsiTheme="minorHAnsi" w:cstheme="minorHAnsi"/>
          <w:b/>
          <w:i/>
          <w:sz w:val="22"/>
          <w:szCs w:val="22"/>
        </w:rPr>
        <w:t>§ 2 Virkeområde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 xml:space="preserve">Forskriften gjelder for politisk valgte medlemmer i folkevalgte </w:t>
      </w:r>
      <w:r>
        <w:rPr>
          <w:rFonts w:asciiTheme="minorHAnsi" w:hAnsiTheme="minorHAnsi" w:cstheme="minorHAnsi"/>
          <w:sz w:val="22"/>
          <w:szCs w:val="22"/>
        </w:rPr>
        <w:t xml:space="preserve">organer, jfr   kommunelovens § 5-1, og andre kommunale organer (jfr. § 5-2) </w:t>
      </w:r>
      <w:r w:rsidRPr="00932E9A">
        <w:rPr>
          <w:rFonts w:asciiTheme="minorHAnsi" w:hAnsiTheme="minorHAnsi" w:cstheme="minorHAnsi"/>
          <w:sz w:val="22"/>
          <w:szCs w:val="22"/>
        </w:rPr>
        <w:t>og i utvalg utenfor kommunal sektor.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32E9A">
        <w:rPr>
          <w:rFonts w:asciiTheme="minorHAnsi" w:hAnsiTheme="minorHAnsi" w:cstheme="minorHAnsi"/>
          <w:b/>
          <w:sz w:val="22"/>
          <w:szCs w:val="22"/>
        </w:rPr>
        <w:t xml:space="preserve">§ 3 </w:t>
      </w:r>
      <w:r w:rsidRPr="00932E9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Rett til dekning av utgifter og økonomisk tap 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>Den som har et kommunalt tillitsverv har krav på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932E9A">
        <w:rPr>
          <w:rFonts w:asciiTheme="minorHAnsi" w:hAnsiTheme="minorHAnsi" w:cstheme="minorHAnsi"/>
          <w:sz w:val="22"/>
          <w:szCs w:val="22"/>
        </w:rPr>
        <w:t>:</w:t>
      </w:r>
    </w:p>
    <w:p w:rsidR="00B95469" w:rsidRPr="00932E9A" w:rsidRDefault="00B95469" w:rsidP="00B95469">
      <w:pPr>
        <w:pStyle w:val="Default"/>
        <w:spacing w:after="46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>a) skyss-, kost- og overnattingsgodtgjøring for reiser i forbindelse med vervet utbetales etter reglene i kommunens reiseregulativ</w:t>
      </w:r>
      <w:r w:rsidRPr="00932E9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b) dekning av legitimerte omsorgsutgifter som følge av vervet kan refunderes med inntil 1,25 ‰ av ordførers godtgjøring pr. møte.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32E9A">
        <w:rPr>
          <w:rFonts w:asciiTheme="minorHAnsi" w:hAnsiTheme="minorHAnsi" w:cstheme="minorHAnsi"/>
          <w:color w:val="auto"/>
          <w:sz w:val="22"/>
          <w:szCs w:val="22"/>
        </w:rPr>
        <w:t>rst</w:t>
      </w:r>
      <w:r w:rsidRPr="00932E9A">
        <w:rPr>
          <w:rFonts w:asciiTheme="minorHAnsi" w:hAnsiTheme="minorHAnsi" w:cstheme="minorHAnsi"/>
          <w:sz w:val="22"/>
          <w:szCs w:val="22"/>
        </w:rPr>
        <w:t xml:space="preserve">atning for tapt inntekt som følge av vervet kan dekkes etter følgende satser: 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u w:val="single"/>
          <w:lang w:val="nb-NO"/>
        </w:rPr>
        <w:t>Ulegitimert tap: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Medlemmer av utvalg, styrer og råd kan uten legitimasjon få erstattet tap av arbeidsinntekt eller utgifter til stedfortreder med inntil 1,8 ‰ av ordførerens godtgjøring pr. dag. Tapt arbeidsfortjeneste kan også utbetales pr. time med inntil 0,25 ‰ av ordførers godtgjøring. Erstatning gis med grunnlag i egenmelding hvor tapets størrelse angis.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u w:val="single"/>
          <w:lang w:val="nb-NO"/>
        </w:rPr>
        <w:t>Legitimert tap: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Med legitimasjon kan slikt tap som er angitt i pkt. a) erstattes med inntil 3,3 ‰ av ordførerens godtgjøring pr. dag eller 0,5 ‰ pr. time.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u w:val="single"/>
          <w:lang w:val="nb-NO"/>
        </w:rPr>
        <w:t>Utbetaling: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Den folkevalgte må selv fremme krav til politisk sekretariat så snart som mulig. Kravet skal dokumenteres.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u w:val="single"/>
          <w:lang w:val="nb-NO"/>
        </w:rPr>
        <w:t>Frikjøp av ordfører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Ordfører frikjøpes i 100 % stilling.  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u w:val="single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u w:val="single"/>
          <w:lang w:val="nb-NO"/>
        </w:rPr>
        <w:t>Frikjøp av varaordfører og lederne for hovedutvalg: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I stedet for tilfeldig tapt arbeidsfortjeneste kan varaordfører og lederne for hovedutvalgene frikjøpes fra sitt arbeid med inntil 20 % for hvert verv.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Formannskapet avgjør søknader om slikt frikjøp.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Ved slikt frikjøp utbetales ikke møtegodtgjøring. 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Frikjøpte hovedutvalgsledere får i tillegg møtegodtgjørelse for møter i formannskap og kommunestyre.</w:t>
      </w:r>
    </w:p>
    <w:p w:rsidR="00B95469" w:rsidRPr="00B95469" w:rsidRDefault="00B95469" w:rsidP="00B95469">
      <w:pPr>
        <w:rPr>
          <w:rFonts w:asciiTheme="minorHAnsi" w:eastAsiaTheme="minorEastAsia" w:hAnsiTheme="minorHAnsi" w:cstheme="minorHAnsi"/>
          <w:color w:val="000000"/>
          <w:sz w:val="22"/>
          <w:szCs w:val="22"/>
          <w:lang w:val="nb-NO"/>
        </w:rPr>
      </w:pPr>
    </w:p>
    <w:p w:rsidR="00B95469" w:rsidRPr="00B95469" w:rsidRDefault="00B95469" w:rsidP="00B9546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b/>
          <w:i/>
          <w:color w:val="000000"/>
          <w:sz w:val="22"/>
          <w:szCs w:val="22"/>
          <w:lang w:val="nb-NO"/>
        </w:rPr>
        <w:t>§ 4 Arbeidsgodtgjøring</w:t>
      </w:r>
    </w:p>
    <w:p w:rsidR="00B95469" w:rsidRPr="00B95469" w:rsidRDefault="00B95469" w:rsidP="00B954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Den som har et kommunalt tillitsverv, har krav på godtgjøring for sitt arbeid etter følgende satser: </w:t>
      </w:r>
    </w:p>
    <w:p w:rsidR="00B95469" w:rsidRPr="00B95469" w:rsidRDefault="00B95469" w:rsidP="00B954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A37756" w:rsidRDefault="00B95469" w:rsidP="00B95469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Ordføreren</w:t>
      </w:r>
      <w:proofErr w:type="spellEnd"/>
    </w:p>
    <w:p w:rsidR="00B95469" w:rsidRPr="00B159F7" w:rsidRDefault="00B95469" w:rsidP="00B95469">
      <w:pPr>
        <w:rPr>
          <w:rFonts w:asciiTheme="minorHAnsi" w:hAnsiTheme="minorHAnsi" w:cstheme="minorHAnsi"/>
          <w:sz w:val="22"/>
          <w:szCs w:val="22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Ordføreren får godtgjøring som til enhver tid tilsvarer 95 % av stortings-representantenes godtgjøring.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Godtgjøringen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omfatter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kommunale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verv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som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ordføreren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59F7">
        <w:rPr>
          <w:rFonts w:asciiTheme="minorHAnsi" w:hAnsiTheme="minorHAnsi" w:cstheme="minorHAnsi"/>
          <w:sz w:val="22"/>
          <w:szCs w:val="22"/>
        </w:rPr>
        <w:t>har</w:t>
      </w:r>
      <w:proofErr w:type="spellEnd"/>
      <w:r w:rsidRPr="00B159F7">
        <w:rPr>
          <w:rFonts w:asciiTheme="minorHAnsi" w:hAnsiTheme="minorHAnsi" w:cstheme="minorHAnsi"/>
          <w:sz w:val="22"/>
          <w:szCs w:val="22"/>
        </w:rPr>
        <w:t>.</w:t>
      </w:r>
    </w:p>
    <w:p w:rsidR="00B95469" w:rsidRPr="00B159F7" w:rsidRDefault="00B95469" w:rsidP="00B95469">
      <w:pPr>
        <w:rPr>
          <w:rFonts w:asciiTheme="minorHAnsi" w:hAnsiTheme="minorHAnsi" w:cstheme="minorHAnsi"/>
          <w:sz w:val="22"/>
          <w:szCs w:val="22"/>
        </w:rPr>
      </w:pPr>
    </w:p>
    <w:p w:rsidR="00B95469" w:rsidRPr="00A37756" w:rsidRDefault="00B95469" w:rsidP="00B95469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Varaordføreren</w:t>
      </w:r>
      <w:proofErr w:type="spellEnd"/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Varaordføreren får godtgjøring som til enhver tid tilsvarer 6 % av ordførerens godtgjøring. Varaordføreren får i tillegg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årsgodtgjøringer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>/møtegodtgjøringer i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B95469">
        <w:rPr>
          <w:rFonts w:asciiTheme="minorHAnsi" w:hAnsiTheme="minorHAnsi" w:cstheme="minorHAnsi"/>
          <w:sz w:val="22"/>
          <w:szCs w:val="22"/>
          <w:lang w:val="nb-NO"/>
        </w:rPr>
        <w:t>samsvar</w:t>
      </w:r>
      <w:proofErr w:type="gram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med dette godtgjøringsregulativet.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Dersom varaordføreren frikjøpes fra sin stilling faller møtegodtgjøringen bort for møter i formannskap og kommunestyre.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A37756" w:rsidRDefault="00B95469" w:rsidP="00B95469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Formannskapets</w:t>
      </w:r>
      <w:proofErr w:type="spellEnd"/>
      <w:r w:rsidRPr="00A377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medlemmer</w:t>
      </w:r>
      <w:proofErr w:type="spellEnd"/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Formannskapets medlemmer får fast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tilsvarende 1 % av ordførerens godtgjøring. Dersom et medlem har hatt forfall til minst halvparten av avholdte møter, reduseres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årsgodtgjøringen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tilsvarende. Dersom et varamedlem har møtt til minst halvparten av avholdte møter, får vedkommende forholdsmessig del av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årsgodtgjøringen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I tillegg får medlemmene godtgjøring pr. møte tilsvarende 1, 25 ‰ av ordførerens godtgjøring.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A37756" w:rsidRDefault="00B95469" w:rsidP="00B95469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Årsgodtgjøring</w:t>
      </w:r>
      <w:proofErr w:type="spellEnd"/>
      <w:r w:rsidRPr="00A377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til</w:t>
      </w:r>
      <w:proofErr w:type="spellEnd"/>
      <w:r w:rsidRPr="00A377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7756">
        <w:rPr>
          <w:rFonts w:asciiTheme="minorHAnsi" w:hAnsiTheme="minorHAnsi" w:cstheme="minorHAnsi"/>
          <w:b/>
          <w:sz w:val="22"/>
          <w:szCs w:val="22"/>
        </w:rPr>
        <w:t>utvalgsledere</w:t>
      </w:r>
      <w:proofErr w:type="spellEnd"/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Ledere av hovedutvalgene og kontrollutvalget får fast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tilsvarende 3% av ordførers godgjøring.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Ledere av øvrige faste utvalg, styrer og råd får fast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tilsvarende 1% av ordførers godtgjøring.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Ved forfall til minst halvparten av avholdte møter, reduseres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årsgodtgjøringen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tilsvarende.  Dersom nestleder har hatt lederfunksjonen i minst halvparten av avholdte møter får vedkommende forholdsmessig del av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årsgodtgjøringen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466DCC" w:rsidRDefault="00B95469" w:rsidP="00B95469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66DCC">
        <w:rPr>
          <w:rFonts w:asciiTheme="minorHAnsi" w:hAnsiTheme="minorHAnsi" w:cstheme="minorHAnsi"/>
          <w:b/>
          <w:bCs/>
          <w:sz w:val="22"/>
          <w:szCs w:val="22"/>
        </w:rPr>
        <w:t>Møtegodtgjøringer</w:t>
      </w:r>
      <w:proofErr w:type="spellEnd"/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Alle medlemmer til kommunestyret, faste- og midlertidige utvalg, styrer og råd i Modum kommune får møtegodtgjøring tilsvarende 1,25 ‰ av ordførerens godtgjøring. Ved flere påfølgende møter utbetales møtegodtgjøring for kun ett møte pr. dag.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="Calibri" w:hAnsi="Calibri"/>
          <w:sz w:val="22"/>
          <w:szCs w:val="22"/>
          <w:lang w:val="nb-NO"/>
        </w:rPr>
      </w:pPr>
      <w:r w:rsidRPr="00B95469">
        <w:rPr>
          <w:rFonts w:ascii="Calibri" w:hAnsi="Calibri"/>
          <w:sz w:val="22"/>
          <w:szCs w:val="22"/>
          <w:lang w:val="nb-NO"/>
        </w:rPr>
        <w:t>Deltagelse på kurs/opplæring/fagkonferanser avklares med etatsleder/rådmann.</w:t>
      </w:r>
    </w:p>
    <w:p w:rsidR="00B95469" w:rsidRPr="00B95469" w:rsidRDefault="00B95469" w:rsidP="00B95469">
      <w:pPr>
        <w:rPr>
          <w:rFonts w:ascii="Calibri" w:hAnsi="Calibr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="Calibri" w:hAnsi="Calibri"/>
          <w:sz w:val="22"/>
          <w:szCs w:val="22"/>
          <w:lang w:val="nb-NO"/>
        </w:rPr>
      </w:pPr>
      <w:r w:rsidRPr="00B95469">
        <w:rPr>
          <w:rFonts w:ascii="Calibri" w:hAnsi="Calibri"/>
          <w:sz w:val="22"/>
          <w:szCs w:val="22"/>
          <w:lang w:val="nb-NO"/>
        </w:rPr>
        <w:t>Det utbetales møtegodtgjøring og eventuelt tapt arbeidsfortjeneste ved kurs/opplæring/konferanser dersom politikeren er innkalt</w:t>
      </w:r>
      <w:r w:rsidRPr="00B95469">
        <w:rPr>
          <w:rFonts w:ascii="Calibri" w:hAnsi="Calibri"/>
          <w:b/>
          <w:sz w:val="22"/>
          <w:szCs w:val="22"/>
          <w:lang w:val="nb-NO"/>
        </w:rPr>
        <w:t>.</w:t>
      </w:r>
      <w:r w:rsidRPr="00B95469">
        <w:rPr>
          <w:rFonts w:ascii="Calibri" w:hAnsi="Calibri"/>
          <w:sz w:val="22"/>
          <w:szCs w:val="22"/>
          <w:lang w:val="nb-NO"/>
        </w:rPr>
        <w:t xml:space="preserve"> Når politikeren er invitert, og vurderer selv om en vil delta,</w:t>
      </w:r>
      <w:r w:rsidRPr="00B95469">
        <w:rPr>
          <w:rFonts w:ascii="Calibri" w:hAnsi="Calibri"/>
          <w:b/>
          <w:sz w:val="22"/>
          <w:szCs w:val="22"/>
          <w:lang w:val="nb-NO"/>
        </w:rPr>
        <w:t xml:space="preserve"> </w:t>
      </w:r>
      <w:r w:rsidRPr="00B95469">
        <w:rPr>
          <w:rFonts w:ascii="Calibri" w:hAnsi="Calibri"/>
          <w:sz w:val="22"/>
          <w:szCs w:val="22"/>
          <w:lang w:val="nb-NO"/>
        </w:rPr>
        <w:t>utbetales ikke møtegodtgjøring eller tapt arbeidsfortjeneste.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Dersom varaordfører/hovedutvalgsledere frikjøpes fra sine stillinger faller møtegodtgjøringen bort.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Dersom et valgt medlem fungerer som leder og/eller sekretær og ikke får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årsgodtgjøring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>, får vedkommende 50 % tillegg til møtegodtgjøringen (til sammen 1,875 ‰ av ordførerens godtgjøring).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Kommunalt oppnevnte medlemmer til utvalg </w:t>
      </w:r>
      <w:proofErr w:type="spellStart"/>
      <w:r w:rsidRPr="00B95469">
        <w:rPr>
          <w:rFonts w:asciiTheme="minorHAnsi" w:hAnsiTheme="minorHAnsi" w:cstheme="minorHAnsi"/>
          <w:sz w:val="22"/>
          <w:szCs w:val="22"/>
          <w:lang w:val="nb-NO"/>
        </w:rPr>
        <w:t>m.v</w:t>
      </w:r>
      <w:proofErr w:type="spellEnd"/>
      <w:r w:rsidRPr="00B95469">
        <w:rPr>
          <w:rFonts w:asciiTheme="minorHAnsi" w:hAnsiTheme="minorHAnsi" w:cstheme="minorHAnsi"/>
          <w:sz w:val="22"/>
          <w:szCs w:val="22"/>
          <w:lang w:val="nb-NO"/>
        </w:rPr>
        <w:t>. utenfor kommunal sektor, får samme møtegodtgjøring som nevnt foran. Dette gjelder under forutsetning av at vedkommende ikke får godtgjøring for vervet fra annet hold.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lastRenderedPageBreak/>
        <w:t>Beregningsgrunnlaget for gjeldende godtgjøringssatser ligger på kommunens hjemmeside under politikk/styringsdokumenter/planer.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10646A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10646A">
        <w:rPr>
          <w:rFonts w:asciiTheme="minorHAnsi" w:hAnsiTheme="minorHAnsi" w:cstheme="minorHAnsi"/>
          <w:b/>
          <w:i/>
          <w:sz w:val="22"/>
          <w:szCs w:val="22"/>
          <w:lang w:val="nb-NO"/>
        </w:rPr>
        <w:t xml:space="preserve">§ 5 Ettergodtgjøring </w:t>
      </w:r>
    </w:p>
    <w:p w:rsidR="00B95469" w:rsidRPr="0010646A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Avtroppende ordfører kan søke om 3 måneders ettergodtgjøring. Retten til ettergodtgjøring avkortes mot annen inntekt etter reglene i kommuneloven § 8-6 andre og tredje ledd. </w:t>
      </w:r>
    </w:p>
    <w:p w:rsidR="00B95469" w:rsidRPr="00B95469" w:rsidRDefault="00B95469" w:rsidP="00B95469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b/>
          <w:i/>
          <w:sz w:val="22"/>
          <w:szCs w:val="22"/>
          <w:lang w:val="nb-NO"/>
        </w:rPr>
        <w:t xml:space="preserve">§ 6 Pensjonsordning </w:t>
      </w: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Folkevalgte som er frikjøpte i minst 20 % har rett til pensjon i tråd med kommunens pensjonsordning. </w:t>
      </w: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b/>
          <w:i/>
          <w:sz w:val="22"/>
          <w:szCs w:val="22"/>
          <w:lang w:val="nb-NO"/>
        </w:rPr>
        <w:t xml:space="preserve">§ 7 Rett til sykepenger  </w:t>
      </w:r>
    </w:p>
    <w:p w:rsidR="00B95469" w:rsidRPr="00B95469" w:rsidRDefault="00B95469" w:rsidP="00B95469">
      <w:pPr>
        <w:rPr>
          <w:rFonts w:asciiTheme="minorHAnsi" w:hAnsiTheme="minorHAnsi" w:cstheme="minorHAnsi"/>
          <w:i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i/>
          <w:sz w:val="22"/>
          <w:szCs w:val="22"/>
          <w:lang w:val="nb-NO"/>
        </w:rPr>
        <w:t>Folkevalgte som</w:t>
      </w: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 har et tillitsverv som sin hovedbeskjeftigelse, har samme krav på sykepenger som ansatte i kommunen, jfr. kommunelovens § 8-8. 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 xml:space="preserve">Kommunen skal betale sykepenger tilsvarende full godtgjøring i arbeidsgiverperioden fra den første til den sekstende sykedagen, jf. folketrygdloven § 8-19. 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 xml:space="preserve">Har den folkevalgte krav på godtgjøring utover seks ganger grunnbeløpet, jf. folketrygdloven § 8-10 andre ledd, skal kommunen betale forskjellen mellom det den folkevalgte har krav på å få utbetalt i sykepenger fra folketrygden og det den folkevalgte ville fått i godtgjøring i den samme perioden. </w:t>
      </w:r>
    </w:p>
    <w:p w:rsidR="00B95469" w:rsidRPr="00B159F7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159F7">
        <w:rPr>
          <w:rFonts w:asciiTheme="minorHAnsi" w:hAnsiTheme="minorHAnsi" w:cstheme="minorHAnsi"/>
          <w:b/>
          <w:i/>
          <w:sz w:val="22"/>
          <w:szCs w:val="22"/>
        </w:rPr>
        <w:t xml:space="preserve">§ 8 </w:t>
      </w:r>
      <w:r w:rsidRPr="00B159F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Rettigheter ved yrkesskade 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>Folkevalgte som har et tillitsverv som sin hovedbeskjeftigelse, skal meldes inn i kommunens yrkesskadeforsikring og eventuelle andre tilleggsforsikringer som gir ansatte i kommunen rett til ytelser ved yrkesskade.</w:t>
      </w: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iCs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b/>
          <w:sz w:val="22"/>
          <w:szCs w:val="22"/>
          <w:lang w:val="nb-NO"/>
        </w:rPr>
        <w:t xml:space="preserve">§ 9 </w:t>
      </w:r>
      <w:r w:rsidRPr="00B95469">
        <w:rPr>
          <w:rFonts w:asciiTheme="minorHAnsi" w:hAnsiTheme="minorHAnsi" w:cstheme="minorHAnsi"/>
          <w:b/>
          <w:i/>
          <w:iCs/>
          <w:sz w:val="22"/>
          <w:szCs w:val="22"/>
          <w:lang w:val="nb-NO"/>
        </w:rPr>
        <w:t xml:space="preserve">Permisjoner </w:t>
      </w:r>
    </w:p>
    <w:p w:rsidR="00B95469" w:rsidRPr="00B95469" w:rsidRDefault="00B95469" w:rsidP="00B95469">
      <w:pPr>
        <w:rPr>
          <w:rFonts w:asciiTheme="minorHAnsi" w:hAnsiTheme="minorHAnsi" w:cstheme="minorHAnsi"/>
          <w:b/>
          <w:i/>
          <w:iCs/>
          <w:sz w:val="22"/>
          <w:szCs w:val="22"/>
          <w:lang w:val="nb-NO"/>
        </w:rPr>
      </w:pPr>
    </w:p>
    <w:p w:rsidR="00B95469" w:rsidRPr="00B95469" w:rsidRDefault="00B95469" w:rsidP="00B95469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B95469">
        <w:rPr>
          <w:rFonts w:asciiTheme="minorHAnsi" w:hAnsiTheme="minorHAnsi" w:cstheme="minorHAnsi"/>
          <w:sz w:val="22"/>
          <w:szCs w:val="22"/>
          <w:lang w:val="nb-NO"/>
        </w:rPr>
        <w:t xml:space="preserve">Folkevalgte som har et tillitsverv som sin hovedbeskjeftigelse, har etter søknad rett til permisjon i samsvar med arbeidsmiljøloven §§ 12-1 til 12-10, 12-12 og 12-15. </w:t>
      </w:r>
    </w:p>
    <w:p w:rsidR="00B95469" w:rsidRPr="00B159F7" w:rsidRDefault="00B95469" w:rsidP="00B95469">
      <w:pPr>
        <w:pStyle w:val="Defaul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 xml:space="preserve">Under permisjonen beholder den folkevalgte godtgjøringen i inntil to uker, med mindre han eller hun gjør avkall på den. Under svangerskapspermisjon, omsorgspermisjon, fødselspermisjon, foreldrepermisjon og ved barns og barnepassers sykdom har den folkevalgte rett til å beholde godtgjøringen etter </w:t>
      </w:r>
      <w:r w:rsidRPr="00B159F7">
        <w:rPr>
          <w:rFonts w:asciiTheme="minorHAnsi" w:hAnsiTheme="minorHAnsi" w:cstheme="minorHAnsi"/>
          <w:sz w:val="22"/>
          <w:szCs w:val="22"/>
        </w:rPr>
        <w:t>samme regler som gjelder for tilsvarende permisjoner for ansatte i kommunen, jfr. kommunelovens § 8-10.</w:t>
      </w:r>
    </w:p>
    <w:p w:rsidR="00B95469" w:rsidRPr="00B159F7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159F7">
        <w:rPr>
          <w:rFonts w:asciiTheme="minorHAnsi" w:hAnsiTheme="minorHAnsi" w:cstheme="minorHAnsi"/>
          <w:b/>
          <w:i/>
          <w:sz w:val="22"/>
          <w:szCs w:val="22"/>
        </w:rPr>
        <w:t>§ 10 Tolkninger, tvilsspørsmål</w:t>
      </w: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>Eventuelle spørsmål om tolkninger og praktisering av dette reglementet forelegges rådmannen til avgjørelse.  Hvis rådmannen finner grunn til det, forelegges slike tvilsspørsmål for formannskapet.</w:t>
      </w:r>
    </w:p>
    <w:p w:rsidR="00B95469" w:rsidRPr="00B159F7" w:rsidRDefault="00B95469" w:rsidP="00B95469">
      <w:pPr>
        <w:pStyle w:val="Default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159F7">
        <w:rPr>
          <w:rFonts w:asciiTheme="minorHAnsi" w:hAnsiTheme="minorHAnsi" w:cstheme="minorHAnsi"/>
          <w:b/>
          <w:i/>
          <w:sz w:val="22"/>
          <w:szCs w:val="22"/>
        </w:rPr>
        <w:t xml:space="preserve">§ 11 </w:t>
      </w:r>
      <w:r w:rsidRPr="00B159F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Ikrafttredelse </w:t>
      </w:r>
    </w:p>
    <w:p w:rsidR="00B95469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32E9A">
        <w:rPr>
          <w:rFonts w:asciiTheme="minorHAnsi" w:hAnsiTheme="minorHAnsi" w:cstheme="minorHAnsi"/>
          <w:sz w:val="22"/>
          <w:szCs w:val="22"/>
        </w:rPr>
        <w:t>Forskriften trer i kraft 1. april 2020.</w:t>
      </w:r>
    </w:p>
    <w:p w:rsidR="00B95469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95469" w:rsidRPr="00932E9A" w:rsidRDefault="00B95469" w:rsidP="00B95469">
      <w:pPr>
        <w:pStyle w:val="Defaul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D082F" w:rsidRPr="001D082F" w:rsidRDefault="001D082F" w:rsidP="00305C3A">
      <w:pPr>
        <w:rPr>
          <w:lang w:val="nb-NO"/>
        </w:rPr>
      </w:pPr>
    </w:p>
    <w:sectPr w:rsidR="001D082F" w:rsidRPr="001D08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A3" w:rsidRDefault="007B72A3" w:rsidP="00F330B2">
      <w:r>
        <w:separator/>
      </w:r>
    </w:p>
  </w:endnote>
  <w:endnote w:type="continuationSeparator" w:id="0">
    <w:p w:rsidR="007B72A3" w:rsidRDefault="007B72A3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A3" w:rsidRDefault="007B72A3" w:rsidP="00F330B2">
      <w:r>
        <w:separator/>
      </w:r>
    </w:p>
  </w:footnote>
  <w:footnote w:type="continuationSeparator" w:id="0">
    <w:p w:rsidR="007B72A3" w:rsidRDefault="007B72A3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50" w:rsidRDefault="00F330B2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1" locked="0" layoutInCell="1" allowOverlap="1" wp14:anchorId="552B8D52" wp14:editId="02D96A5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054" cy="221841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487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C14"/>
    <w:multiLevelType w:val="hybridMultilevel"/>
    <w:tmpl w:val="65F843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09418C"/>
    <w:rsid w:val="0010646A"/>
    <w:rsid w:val="001343A1"/>
    <w:rsid w:val="001466F4"/>
    <w:rsid w:val="00160F1C"/>
    <w:rsid w:val="001B62BF"/>
    <w:rsid w:val="001B78DD"/>
    <w:rsid w:val="001D082F"/>
    <w:rsid w:val="001D4D41"/>
    <w:rsid w:val="00263AAC"/>
    <w:rsid w:val="00305C3A"/>
    <w:rsid w:val="003356C2"/>
    <w:rsid w:val="00381026"/>
    <w:rsid w:val="00390608"/>
    <w:rsid w:val="003A283A"/>
    <w:rsid w:val="003A74A6"/>
    <w:rsid w:val="004045BF"/>
    <w:rsid w:val="00412AE3"/>
    <w:rsid w:val="004239E0"/>
    <w:rsid w:val="00436CA4"/>
    <w:rsid w:val="004A747B"/>
    <w:rsid w:val="00520A35"/>
    <w:rsid w:val="00657E57"/>
    <w:rsid w:val="007A60C7"/>
    <w:rsid w:val="007A6E21"/>
    <w:rsid w:val="007B72A3"/>
    <w:rsid w:val="00857536"/>
    <w:rsid w:val="00924256"/>
    <w:rsid w:val="00946A50"/>
    <w:rsid w:val="00982140"/>
    <w:rsid w:val="00995434"/>
    <w:rsid w:val="009D462D"/>
    <w:rsid w:val="00A04338"/>
    <w:rsid w:val="00A26FE7"/>
    <w:rsid w:val="00A6770D"/>
    <w:rsid w:val="00AC7B75"/>
    <w:rsid w:val="00AD39E2"/>
    <w:rsid w:val="00B95469"/>
    <w:rsid w:val="00B96A86"/>
    <w:rsid w:val="00C2154E"/>
    <w:rsid w:val="00C87117"/>
    <w:rsid w:val="00C916F9"/>
    <w:rsid w:val="00CD14DE"/>
    <w:rsid w:val="00D34315"/>
    <w:rsid w:val="00D40374"/>
    <w:rsid w:val="00D84C81"/>
    <w:rsid w:val="00DC5F62"/>
    <w:rsid w:val="00EC63F3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C21AFA-E580-4AFD-B041-9C7E377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BF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paragraph" w:customStyle="1" w:styleId="Default">
    <w:name w:val="Default"/>
    <w:rsid w:val="00B95469"/>
    <w:pPr>
      <w:autoSpaceDE w:val="0"/>
      <w:autoSpaceDN w:val="0"/>
      <w:adjustRightInd w:val="0"/>
      <w:spacing w:after="160" w:line="276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Kopland, Eivind</cp:lastModifiedBy>
  <cp:revision>2</cp:revision>
  <cp:lastPrinted>2020-05-06T12:16:00Z</cp:lastPrinted>
  <dcterms:created xsi:type="dcterms:W3CDTF">2020-05-20T08:20:00Z</dcterms:created>
  <dcterms:modified xsi:type="dcterms:W3CDTF">2020-05-20T08:20:00Z</dcterms:modified>
</cp:coreProperties>
</file>